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620" w:lineRule="exact"/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河北吴桥杂技艺术学校</w:t>
      </w:r>
    </w:p>
    <w:p>
      <w:pPr>
        <w:spacing w:line="62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62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62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620" w:lineRule="exact"/>
        <w:jc w:val="center"/>
        <w:rPr>
          <w:rFonts w:hint="eastAsia" w:ascii="黑体" w:hAnsi="黑体" w:eastAsia="黑体"/>
          <w:sz w:val="48"/>
          <w:szCs w:val="48"/>
          <w:lang w:val="en-US" w:eastAsia="zh-CN"/>
        </w:rPr>
      </w:pPr>
    </w:p>
    <w:p>
      <w:pPr>
        <w:spacing w:line="620" w:lineRule="exact"/>
        <w:jc w:val="center"/>
        <w:rPr>
          <w:rFonts w:hint="eastAsia" w:ascii="黑体" w:hAnsi="黑体" w:eastAsia="黑体"/>
          <w:sz w:val="48"/>
          <w:szCs w:val="48"/>
          <w:lang w:val="en-US" w:eastAsia="zh-CN"/>
        </w:rPr>
      </w:pPr>
    </w:p>
    <w:p>
      <w:pPr>
        <w:spacing w:line="620" w:lineRule="exact"/>
        <w:jc w:val="center"/>
        <w:rPr>
          <w:rFonts w:hint="eastAsia"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  <w:lang w:val="en-US" w:eastAsia="zh-CN"/>
        </w:rPr>
        <w:t>2019年</w:t>
      </w:r>
      <w:r>
        <w:rPr>
          <w:rFonts w:hint="eastAsia" w:ascii="黑体" w:hAnsi="黑体" w:eastAsia="黑体"/>
          <w:sz w:val="48"/>
          <w:szCs w:val="48"/>
        </w:rPr>
        <w:t>度中等职业教育质量报告</w:t>
      </w:r>
    </w:p>
    <w:p>
      <w:pPr>
        <w:spacing w:line="62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62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62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62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620" w:lineRule="exact"/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spacing w:line="620" w:lineRule="exact"/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spacing w:line="620" w:lineRule="exact"/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spacing w:line="620" w:lineRule="exact"/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spacing w:line="620" w:lineRule="exact"/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spacing w:line="620" w:lineRule="exact"/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spacing w:line="620" w:lineRule="exact"/>
        <w:jc w:val="center"/>
        <w:rPr>
          <w:rFonts w:hint="default" w:ascii="黑体" w:hAnsi="黑体" w:eastAsia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2019年12月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1.学校基本情况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 xml:space="preserve"> .......................................1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1.1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学校概况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 xml:space="preserve"> .........................................1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1.2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学生情况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 xml:space="preserve">  ........................................3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1.3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教师队伍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 xml:space="preserve">  ........................................3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1.4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设施设备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 xml:space="preserve">  ........................................4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2.学生发展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............................................4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2.1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学生素质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 xml:space="preserve"> .........................................4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2.2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在校体验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 xml:space="preserve"> .........................................5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2.3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资助情况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 xml:space="preserve"> .........................................5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2.4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分配就业质量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......................................6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2.5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职业特色发展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......................................6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3.质量保障措施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........................................7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3.1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专业动态调整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......................................7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3.2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教育教学改革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......................................7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default" w:ascii="仿宋" w:hAnsi="仿宋" w:eastAsia="仿宋" w:cs="仿宋"/>
          <w:b/>
          <w:bCs/>
          <w:color w:val="auto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3.3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教师队伍培训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......................................8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default" w:ascii="仿宋" w:hAnsi="仿宋" w:eastAsia="仿宋" w:cs="仿宋"/>
          <w:b/>
          <w:bCs/>
          <w:color w:val="auto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3.4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规范管理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..........................................9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3.5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德育工作情况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......................................12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default" w:ascii="仿宋" w:hAnsi="仿宋" w:eastAsia="仿宋" w:cs="仿宋"/>
          <w:b/>
          <w:bCs/>
          <w:color w:val="auto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3.6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党建工作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..........................................12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4．校团合作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..........................................13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ascii="仿宋" w:hAnsi="仿宋" w:eastAsia="仿宋" w:cs="仿宋"/>
          <w:b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4.1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校企合作开展情况和效果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............................13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4.2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学生实习情况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......................................13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4.3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集团化办学情况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....................................13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5社会贡献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............................................14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5.1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技术技能人才培养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..................................14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5.2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社会服务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..........................................15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5.3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对口支援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..........................................16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6.举办者履责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..........................................17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6.1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经费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..............................................17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6.2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政策措施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..........................................17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</w:rPr>
        <w:t>7.特色创新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...........................................18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7.1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科学把握办学定位，提升人才培养效益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................18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lang w:val="en-US" w:eastAsia="zh-CN"/>
        </w:rPr>
        <w:t>7.2深入发展校团合作，整合资源特色优势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................19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</w:rPr>
        <w:t>8.主要问题和改进措施与保障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............................20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8.1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专业较单一，专业生源匮乏，与日益发展的社会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不相适应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.20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8.2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高端杂技专业师资紧缺，与学校发展前景不相适应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.......20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8.3保障机制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...........................................21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ascii="仿宋" w:hAnsi="仿宋" w:eastAsia="仿宋" w:cs="仿宋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</w:pPr>
    </w:p>
    <w:p>
      <w:pPr>
        <w:widowControl/>
        <w:spacing w:line="620" w:lineRule="exact"/>
        <w:ind w:firstLine="560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</w:p>
    <w:p>
      <w:pPr>
        <w:widowControl/>
        <w:spacing w:line="620" w:lineRule="exact"/>
        <w:ind w:firstLine="643" w:firstLineChars="200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62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620" w:lineRule="exact"/>
        <w:rPr>
          <w:rFonts w:ascii="宋体" w:hAnsi="宋体"/>
          <w:sz w:val="30"/>
          <w:szCs w:val="30"/>
        </w:rPr>
      </w:pPr>
    </w:p>
    <w:p>
      <w:pPr>
        <w:widowControl/>
        <w:spacing w:line="620" w:lineRule="exact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2019年，我校在各级教育部门的关怀和指引下，坚持以习近平总书记提出的新时代中国特色社会主义思想为指导，围绕职业教育发展规划的标准和要求，坚持用党的教育和文艺方针为指导，以提高教育教学质量为抓手，以培养德才兼备的杂技人才为目的，不断改革创新，教书育人，不断探索新形势下办好杂技艺术教育的新路径，在学校硬件和软件建设方面，查找问题和不足，补齐短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一年来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我校在招生就业、学员培训、基础设施提升、校园环境改变、外籍学员培训、对外文化交流合作等方面，均取得了良好的成绩。现报告如下：</w:t>
      </w:r>
    </w:p>
    <w:p>
      <w:pPr>
        <w:widowControl/>
        <w:spacing w:line="620" w:lineRule="exact"/>
        <w:ind w:firstLine="560"/>
        <w:jc w:val="left"/>
        <w:rPr>
          <w:rFonts w:ascii="微软雅黑" w:hAnsi="微软雅黑" w:eastAsia="微软雅黑" w:cs="微软雅黑"/>
          <w:b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32"/>
          <w:szCs w:val="32"/>
        </w:rPr>
        <w:t>1.学校基本情况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2086610</wp:posOffset>
            </wp:positionH>
            <wp:positionV relativeFrom="paragraph">
              <wp:posOffset>186690</wp:posOffset>
            </wp:positionV>
            <wp:extent cx="3150870" cy="2045335"/>
            <wp:effectExtent l="0" t="0" r="49530" b="12065"/>
            <wp:wrapTight wrapText="bothSides">
              <wp:wrapPolygon>
                <wp:start x="0" y="0"/>
                <wp:lineTo x="0" y="21325"/>
                <wp:lineTo x="21417" y="21325"/>
                <wp:lineTo x="21417" y="0"/>
                <wp:lineTo x="0" y="0"/>
              </wp:wrapPolygon>
            </wp:wrapTight>
            <wp:docPr id="2" name="图片 2" descr="18083CC5690406D1EB24BAA897E9CF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8083CC5690406D1EB24BAA897E9CF0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1.1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学校概况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河北吴桥杂技艺术学校，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是经省政府批准建立的国内最早的专门培养杂技人才的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公办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中等艺术学校。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学校占地面积约99亩（新增33亩），总建筑面积26000多平方米，其中实训基地占地面积14500平方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1329690</wp:posOffset>
            </wp:positionV>
            <wp:extent cx="3926840" cy="2945765"/>
            <wp:effectExtent l="0" t="0" r="16510" b="6985"/>
            <wp:wrapTight wrapText="bothSides">
              <wp:wrapPolygon>
                <wp:start x="0" y="0"/>
                <wp:lineTo x="0" y="21512"/>
                <wp:lineTo x="21481" y="21512"/>
                <wp:lineTo x="21481" y="0"/>
                <wp:lineTo x="0" y="0"/>
              </wp:wrapPolygon>
            </wp:wrapTight>
            <wp:docPr id="14" name="图片 14" descr="00C0A0512D2242590E1C84F172D79A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00C0A0512D2242590E1C84F172D79A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684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教学行政、办公用房建筑等总面积达12000平方米。校园路面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铺设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石板，硬化面积2000平米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办公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教学实现网络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和安全监控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全覆盖。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今年，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投入200万元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350平米绿化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杂技专业实训灯光、道具等设施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提升投入50万元，学生公寓改造50万元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教学楼教学设施提升改造投入110万元。在全国杂技马戏类学校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，杂技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魔术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教学、训练场馆、科研楼、图书馆、信息化、阶梯教室、计算机房等建设设施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位列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一流。学校配套设施齐全，现有杂技排练厅两栋，教学行政楼一栋，学生公寓两栋，其中国际杂技培训中心楼，为准三星级公寓，专供国外杂技留学生和客座教授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使用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。学校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食堂2个，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分别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满足国内外学生的学习、训练、生活的全部需要。</w:t>
      </w:r>
    </w:p>
    <w:p>
      <w:pPr>
        <w:widowControl/>
        <w:spacing w:line="620" w:lineRule="exact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2084705</wp:posOffset>
            </wp:positionH>
            <wp:positionV relativeFrom="paragraph">
              <wp:posOffset>74295</wp:posOffset>
            </wp:positionV>
            <wp:extent cx="3023235" cy="1865630"/>
            <wp:effectExtent l="0" t="0" r="5715" b="1270"/>
            <wp:wrapTight wrapText="bothSides">
              <wp:wrapPolygon>
                <wp:start x="0" y="0"/>
                <wp:lineTo x="0" y="21394"/>
                <wp:lineTo x="21505" y="21394"/>
                <wp:lineTo x="21505" y="0"/>
                <wp:lineTo x="0" y="0"/>
              </wp:wrapPolygon>
            </wp:wrapTight>
            <wp:docPr id="15" name="图片 15" descr="A7C6B0F00D663A75D2FD5A90334ACD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A7C6B0F00D663A75D2FD5A90334ACD6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3235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学校配备了电子阅览室、微机房、多功能厅排练厅，实训设备设施价值为80万元；图书室和学生阅览室一个，新增图书40000册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纸质图</w:t>
      </w:r>
      <w:r>
        <w:rPr>
          <w:rFonts w:hint="eastAsia" w:ascii="仿宋" w:hAnsi="仿宋" w:eastAsia="仿宋" w:cs="仿宋"/>
          <w:color w:val="auto"/>
          <w:sz w:val="32"/>
          <w:szCs w:val="32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2065655</wp:posOffset>
            </wp:positionH>
            <wp:positionV relativeFrom="paragraph">
              <wp:posOffset>123190</wp:posOffset>
            </wp:positionV>
            <wp:extent cx="3125470" cy="1755140"/>
            <wp:effectExtent l="0" t="0" r="17780" b="16510"/>
            <wp:wrapTight wrapText="bothSides">
              <wp:wrapPolygon>
                <wp:start x="0" y="0"/>
                <wp:lineTo x="0" y="21334"/>
                <wp:lineTo x="21460" y="21334"/>
                <wp:lineTo x="21460" y="0"/>
                <wp:lineTo x="0" y="0"/>
              </wp:wrapPolygon>
            </wp:wrapTight>
            <wp:docPr id="4" name="图片 4" descr="IMG_20171104_093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0171104_0937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书达5.9万余册，电子图书10万册，新增杂技类图书200册。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1.2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学生情况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2019年中专招生61人，毕业27人，现在学生245人（不含外籍杂技学员26人）。</w:t>
      </w:r>
    </w:p>
    <w:p>
      <w:pPr>
        <w:widowControl/>
        <w:spacing w:line="620" w:lineRule="exact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1047115</wp:posOffset>
            </wp:positionH>
            <wp:positionV relativeFrom="paragraph">
              <wp:posOffset>1477645</wp:posOffset>
            </wp:positionV>
            <wp:extent cx="3564890" cy="1811020"/>
            <wp:effectExtent l="19050" t="0" r="16510" b="0"/>
            <wp:wrapTopAndBottom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学校学生主要从事杂技表演专业，为全国各大杂技团体输送人才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年龄结构（8-17岁）不同，每年的招生数量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不一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，导致每年毕业人数都有相应的浮动。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1.3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教师队伍</w:t>
      </w:r>
    </w:p>
    <w:p>
      <w:pPr>
        <w:widowControl/>
        <w:spacing w:line="620" w:lineRule="exact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坚持开门办学，走出去，请进来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为提升教学质量，外聘专家和客座教授26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人次，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组织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专业和文化教师外出参观学习、培训86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人次，参加各类师资培训班11次，在全县开展的杂技魔术进校园活动中，深入中小学指导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老师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40多人次。学校现有教师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人，其中专任教师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名，师生比例1:5。学校重视师资队伍建设，师资队伍结构不断优化，专任教师本科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以上比例为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%，高级职称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人，高级职称占比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%，与上一年相比无变化。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1.4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设施设备</w:t>
      </w:r>
    </w:p>
    <w:p>
      <w:pPr>
        <w:widowControl/>
        <w:spacing w:line="620" w:lineRule="exact"/>
        <w:ind w:firstLine="48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学校今年教学设施投入比去年增长约160万元（其中实训剧场50万元，新增图书及设备购置约23万元，教学设备87万元）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生均教学设备12500元，比上年度提高7000元，生均纸质图书195册。</w:t>
      </w:r>
    </w:p>
    <w:p>
      <w:pPr>
        <w:widowControl/>
        <w:spacing w:line="620" w:lineRule="exact"/>
        <w:ind w:firstLine="560"/>
        <w:jc w:val="left"/>
        <w:rPr>
          <w:rFonts w:ascii="微软雅黑" w:hAnsi="微软雅黑" w:eastAsia="微软雅黑" w:cs="微软雅黑"/>
          <w:b/>
          <w:bCs/>
          <w:color w:val="auto"/>
          <w:kern w:val="0"/>
          <w:sz w:val="32"/>
          <w:szCs w:val="32"/>
        </w:rPr>
      </w:pPr>
    </w:p>
    <w:p>
      <w:pPr>
        <w:widowControl/>
        <w:spacing w:line="620" w:lineRule="exact"/>
        <w:ind w:firstLine="560"/>
        <w:jc w:val="left"/>
        <w:rPr>
          <w:rFonts w:ascii="微软雅黑" w:hAnsi="微软雅黑" w:eastAsia="微软雅黑" w:cs="微软雅黑"/>
          <w:b/>
          <w:bCs/>
          <w:color w:val="auto"/>
          <w:kern w:val="0"/>
          <w:sz w:val="32"/>
          <w:szCs w:val="32"/>
        </w:rPr>
      </w:pPr>
    </w:p>
    <w:p>
      <w:pPr>
        <w:widowControl/>
        <w:spacing w:line="620" w:lineRule="exact"/>
        <w:ind w:firstLine="560"/>
        <w:jc w:val="left"/>
        <w:rPr>
          <w:rFonts w:ascii="微软雅黑" w:hAnsi="微软雅黑" w:eastAsia="微软雅黑" w:cs="微软雅黑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59055</wp:posOffset>
            </wp:positionV>
            <wp:extent cx="4460875" cy="1485900"/>
            <wp:effectExtent l="4445" t="5080" r="11430" b="13970"/>
            <wp:wrapTopAndBottom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32"/>
          <w:szCs w:val="32"/>
        </w:rPr>
        <w:t>2.学生发展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2.1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学生素质</w:t>
      </w:r>
    </w:p>
    <w:p>
      <w:pPr>
        <w:widowControl/>
        <w:spacing w:line="620" w:lineRule="exact"/>
        <w:ind w:firstLine="48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对于学生综合素质的培养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新增武术课、杂技欣赏课、音乐欣赏课等，通过德育、班会、礼仪、法制讲座、国学教育、升国旗活动、文体竞技等有效活动，开展素质教育，丰富学生的文体活动内容。但部分学生缺乏理想信念、人生观和价值观倾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于享乐主义，部分学生纪律、法律意识较淡薄，需对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这些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学生加强思想道德教育。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改善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杂技教学的传统模式，改变重技艺、轻文化的现象，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目前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学生文化课和专业课合格率为98%以上，学生体质合格率为100%。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2.2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在校体验</w:t>
      </w:r>
    </w:p>
    <w:p>
      <w:pPr>
        <w:widowControl/>
        <w:spacing w:line="620" w:lineRule="exact"/>
        <w:ind w:firstLine="56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2239010</wp:posOffset>
            </wp:positionH>
            <wp:positionV relativeFrom="paragraph">
              <wp:posOffset>616585</wp:posOffset>
            </wp:positionV>
            <wp:extent cx="3037840" cy="2279015"/>
            <wp:effectExtent l="0" t="0" r="10160" b="6985"/>
            <wp:wrapTight wrapText="bothSides">
              <wp:wrapPolygon>
                <wp:start x="0" y="0"/>
                <wp:lineTo x="0" y="21486"/>
                <wp:lineTo x="21401" y="21486"/>
                <wp:lineTo x="21401" y="0"/>
                <wp:lineTo x="0" y="0"/>
              </wp:wrapPolygon>
            </wp:wrapTight>
            <wp:docPr id="10" name="图片 10" descr="2DA72F4983496362D01DED3956A46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DA72F4983496362D01DED3956A46ADD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通过对学生及家长评教、座谈、问卷、个体谈话等形式，了解学生对学校工作的满意度。对学校理论学习的满意度90%，专业学习满意度98%，实习实训满意度100%（校园文化、社会活动参与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积极性高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达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97%以上），生活满意度93%，校园安全98%，毕业生对学校的满意度96%以上。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注重校园文化建设，定期开展各种类型的学生活动，住宿、用餐、洗澡等生活保障到位，学生满意度较高。</w:t>
      </w:r>
    </w:p>
    <w:p>
      <w:pPr>
        <w:widowControl/>
        <w:spacing w:line="620" w:lineRule="exact"/>
        <w:ind w:firstLine="48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学生对杂技与魔术表演专业理论课的学习满意度较高，专业训练满意度高。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2.3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资助情况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坚持“一切为学生服务，为家长着想”的思想，严格执行国家对中职学校贫困生资助标准，学校根据上级主管部门的要求，严格落实免学费和助学金工作，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据规定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做好学生资助工作。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2.4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分配就业质量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坚持以就业为导向，积极推进团校一体化办学模式，改革教学思路，以人才培训质量为核心，以杂技团用人标准为尺度，适当调整学制和学时，突出基本功训练，确保教学科学化、规范化、标准化。学校201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年毕业生就业率为100%，对口就业率为100%，杂技学员供不应求，杂技人才培训趋势良好。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2.5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职业特色发展</w:t>
      </w:r>
    </w:p>
    <w:p>
      <w:pPr>
        <w:widowControl/>
        <w:spacing w:line="620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坚持文化自信，开展好“一带一路”文化项目建设，抓好内外杂技培训，推进中华文化走出去，推进杂技中职教育国际化，保护和传承杂技非物质文化遗产。筹建河北吴桥杂技艺术学校塞拉利昂分校，巩固埃塞俄比亚和老挝实训基地联合办学关系，并同河北大学、河北师范大学开展合作，接受河大研究生26名来学校实习，向非洲留学生传授中国文化，积极发挥杂技艺术的资源和优势，突出特长，开拓国际市场。坚持走国内培训和国际培训相结合的办学思路，推动中华杂技文化走出去项目建设，拓宽国际办学空间，借鉴国外杂技马戏学校的办学经验，做大做强留学生培训项目。与国外联合办学，建立良好的团校关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杂技艺术和孔子文化相结合，在境外办好杂技培训机构和孔子课堂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</w:t>
      </w:r>
    </w:p>
    <w:p>
      <w:pPr>
        <w:widowControl/>
        <w:spacing w:line="620" w:lineRule="exact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学校引导学生客观准确地制定自己的个人职业生涯规划，使学生逐渐形成科学、合理的职业期望，有利于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发扬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自身优势，扬长避短，顺利走上工作岗位并能很快适应和发挥个人潜力。同时引导学生认识自我，按照自己的这些特点来进行职业选择，充分认识自己对将来的职业选择和倾向。学校还重视就业后的再规划，使学生的岗位适应能力和迁移能力得到提升。</w:t>
      </w:r>
    </w:p>
    <w:p>
      <w:pPr>
        <w:widowControl/>
        <w:spacing w:line="620" w:lineRule="exact"/>
        <w:ind w:firstLine="560"/>
        <w:jc w:val="left"/>
        <w:rPr>
          <w:rFonts w:ascii="微软雅黑" w:hAnsi="微软雅黑" w:eastAsia="微软雅黑" w:cs="微软雅黑"/>
          <w:b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32"/>
          <w:szCs w:val="32"/>
        </w:rPr>
        <w:t>3.质量保障措施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3.1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专业动态调整</w:t>
      </w:r>
    </w:p>
    <w:p>
      <w:pPr>
        <w:widowControl/>
        <w:spacing w:line="620" w:lineRule="exact"/>
        <w:ind w:firstLine="480"/>
        <w:jc w:val="lef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为了更好促进吴桥杂技文化产业的发展，提升旅游事业发展速度，弘扬杂技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艺术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，加快杂技教育事业的发展，在沧州，沧州市人民政府出台了“振兴杂技计划”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每年投入支持杂技艺术发展基金1000万元，在我校基础上建立了“沧州职业技术学院吴桥杂技学院”。在吴桥，积极配合“工业强县、杂技兴县”发展吴桥全域旅游的战略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widowControl/>
        <w:spacing w:line="620" w:lineRule="exact"/>
        <w:ind w:firstLine="48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学校坚持就业为导向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对现有专业，由杂技表演专业增加了魔术表演专业和杂技民族事务专业，为旅游景区培育应用型人才，拓宽了杂技爱好者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专业就业面。</w:t>
      </w:r>
    </w:p>
    <w:p>
      <w:pPr>
        <w:widowControl/>
        <w:spacing w:line="620" w:lineRule="exact"/>
        <w:ind w:firstLine="48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学校严格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执行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文化部、教育部制定的《中等杂技学校指导性教学计划》、《杂技行业人才需求与专业设置》及《杂技专业目录修订》规定的公共课、文化课、专业课程建设，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根据市场需求，适当调整课程和专业。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3.2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教育教学改革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开展杂技魔术进校园活动，和县教育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联合，同59所县内中小学开展联谊杂技教学活动，普及杂技魔术知识，弘扬和传承杂技艺术，保护国家杂技非物质文化遗产。从2010年开始加大改革力度，学校积极探索与市场接轨的开放式办学模式，先后与广州、上海、北京等地达成合作办学意向。学校内部也进行了人事制度和分配制度的改革，充分引入竞争机制和激励机制，采用竞争上岗、优化组合、岗位业绩与收入挂钩等制度，充分发挥现有教师队伍的潜力。此外，还聘请了国内杂技界的多位专家。作为我校的客座教授，经常邀请他们来校讲学，有力促进了学校教学水平的提高。在招生、培训、人才就业、科研教学等方面，形成了一套完整的体系。多年来，国家、省、市各级政府部门对学校取得的成绩给予了充分肯定，也给予了很高的荣誉。省政府和市政府还多次授予学校河北省文艺振兴奖和市长特别奖。  </w:t>
      </w:r>
    </w:p>
    <w:p>
      <w:pPr>
        <w:widowControl/>
        <w:spacing w:line="620" w:lineRule="exact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3.3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教师队伍培训</w:t>
      </w:r>
    </w:p>
    <w:p>
      <w:pPr>
        <w:widowControl/>
        <w:spacing w:line="620" w:lineRule="exact"/>
        <w:ind w:firstLine="48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充分利用国家艺术发展基金对杂技专业人才的培训机会，制定了常年的培训计划，分门别类，以骨干专业教师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培养重点，优化教师队伍，以点带面，全面发展。先后派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>人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员到北京杂技学校、杭州职业艺术学院、北京舞蹈学院、河北艺术职业学院、珠海职业学院、山东省艺术学校、河北大学等建立学习交流机制。学校师资队伍建设主要以结构调整为主，加强重点专业优秀教师团队建设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加强“双师型”教师队伍建设、加强科研团队建设。努力建立一支“素质优良、结构合理、精干高效、充满活力、勇于实践、敢于创新、相对稳定”的师资队伍。通过选送教师进修、杂技赛事观摩、学习考察、举办杂技理论班训班等途径，加强对教师队伍的培养。本学年教师省、市级参加培训率为92%，教师培训课时完成率为100%。本学年投入培训经费6万元，培训人次上升到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次。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116205</wp:posOffset>
            </wp:positionV>
            <wp:extent cx="3517900" cy="2305050"/>
            <wp:effectExtent l="4445" t="4445" r="20955" b="14605"/>
            <wp:wrapTopAndBottom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3.4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规范管理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彻底改变传统办学模式，克服技艺和文化不平衡发展的不良倾向，改变过去团带班的培训模式，按照科学化、规范化、系统化的标准办学，采取走出去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请进来方法，全年聘请客座教授和专家学者授课30多人次，派出学习观摩36人次。学校特别重视教学管理的现代化、科学化和规范化建设。编制了符合杂技艺术教育特点的一系列教学管理文件，通过不断地补充，完善形成了学校《河北吴桥杂技艺术学校管理制度汇编》，它涵盖教学工作的每个环节，实施效果良好。  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学校建立了完善的激励竞争机制和教学质量保障体系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制定了《教学常规检查工作制度》、《学校教学事故认定与处理办法暂行规定》等相关制度。常规教学中按照有关制度进行管理，对违反纪律和规定的教师和学生及时进行处理和教育。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实行校长监管制度，深入一线，强化督导意识，以督评教、以督促教。学校组织相关领导、专家、教研组长进行督导、督学、督教，组织学生评教，教学督导深入班级听课、检查、指导，并将每学期听课结果进行总结，由教学管理部门存档。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加强教学动态管理，除坚持日常的常规教学检查外，学校每学期的期初、期中、期末都进行教学大检查。对教师的备、讲、批、考等各个教学环节进行检查考核，由教学督导室、教师、学生、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科室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领导根据考核指标进行评测打分，考核结果与教师评优评先、岗位聘用挂钩。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学生管理工作坚持德育为首，认真制定每学生、每学期的德育工作计划和实施方案，办好德育宣传栏。创新每周“国旗下主题演讲”活动，精心设计每一次爱国主义和革命传统教育活动。定期邀请优秀毕业生返校宣讲优秀事迹等等。进一步深化和完善“全程跟踪管理”模式。 </w:t>
      </w:r>
    </w:p>
    <w:p>
      <w:pPr>
        <w:widowControl/>
        <w:spacing w:line="620" w:lineRule="exact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明确后勤岗位职责，落实分层负责、分类包干、责任到人的管理制度，坚持服务育人宗旨，强化责任意识和服务意识，提高后勤服务质量；合理使用经费，努力改善办学条件，健全校舍校产管理制度，统筹规划校园，搞好美化、绿化、净化和环境卫生工作；加强学校勤工俭学项目、基地、校办产业的建设和管理，对学生进行劳动习惯和劳动技能培养，促进学生全面发展。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建立健全各项财务制度，执行财务支出“一支笔”审批制度、“大额支出报批制”、“财务收支两条线管理制度”和学校财务收支公开制等；合理控制财务支出，做到量入为出，落实保安全、保运转、保发展的基本目标，促进资金的规范使用和有序流动；建立和完善校舍维修改造、公用经费保障、贫困生救助等管理办法，保证杂技专业教育经费保障机制的顺利实施。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成立学校安全管理机构，明确各类人员管理职责，健全各种安全工作管理制度，签定各类人员安全责任书；定期开展安全知识讲座，抓好师生安全知识和安全防范自救技能的教育，开展安全应急预案演练、强化师生交通安全、消防安全和大型活动安全管理；进行安全隐患排查和校园周边环境治理，消除校内外的各种安全隐患，杜绝由于学校管理不善造成的师生伤亡事故；认真做好师生矛盾排查调处和危险物品收缴；加强对学校食品卫生工作的管理，杜绝食物中毒事件发生；切实加强安全保卫工作，增强防火、防盗、防电、防毒、防流行性传染病、防溺水、防交通事故、防地质灾害、防打架斗殴等安全事故的发生，确保学校安全和无事故发生，争创“平安校园”。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3.5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德育工作情况</w:t>
      </w:r>
    </w:p>
    <w:p>
      <w:pPr>
        <w:widowControl/>
        <w:spacing w:line="620" w:lineRule="exact"/>
        <w:ind w:firstLine="56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学校重视德育工作，德育课程严格按省教育厅课程设置的相关要求实施，注重校园文化建设和文明风采活动的开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325755</wp:posOffset>
            </wp:positionV>
            <wp:extent cx="4671060" cy="2600960"/>
            <wp:effectExtent l="4445" t="4445" r="10795" b="23495"/>
            <wp:wrapTopAndBottom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展。利用特定纪念日开展相关的主题教育活动，同时结合学校学生的特点开展各种类型的活动，通过这些有意义的活动，规范学生的行为，提高学生的素质，培养学生的高尚情操，树立正确的人生观、道德观，弘扬正义，使学生健康成长。校园文化面积由去年的530平方米增加到810平方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3.6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党建工作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认真学习十八大以来党的一系列政策，特别是十九大以来的路线、方针政策及习近平讲话精神，学习党章内容，深入贯彻国家中职学校发展的一系列指示精神。学校党支部紧紧围绕学校中心工作，以创建“创新型”基层党组织为目标，开展各项党建工作。“以人为本”抓好支部自身建设，今年发展党员3名，通过特色党课活动，进行党员党性修养教育，促使全体党员始终保持思想上的先进性，始终坚持党内生活的原则性，始终为人们群众做表率。</w:t>
      </w:r>
    </w:p>
    <w:p>
      <w:pPr>
        <w:widowControl/>
        <w:spacing w:line="620" w:lineRule="exact"/>
        <w:ind w:firstLine="560"/>
        <w:jc w:val="left"/>
        <w:rPr>
          <w:rFonts w:ascii="微软雅黑" w:hAnsi="微软雅黑" w:eastAsia="微软雅黑" w:cs="微软雅黑"/>
          <w:b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32"/>
          <w:szCs w:val="32"/>
        </w:rPr>
        <w:t>4．校团合作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4.1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校企合作开展情况和效果</w:t>
      </w:r>
    </w:p>
    <w:p>
      <w:pPr>
        <w:spacing w:line="620" w:lineRule="exact"/>
        <w:ind w:firstLine="627" w:firstLineChars="196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投资50万元完成舞台灯光改造项目，组织实习队伍开展好实训基地建设，赴深圳、江苏、北京等地开展学生顶岗实习，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积累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舞台实践经验。积极开展教学科研创新活动，创作编排20多个优秀节目，完成了北京房山区十渡惠民演出活动，京津冀两次展演及北京杂技团的演出任务。积极参与专业人员培训工作，组织人员参加了2018年第四届上海国际杂技艺术教育论坛，对我国杂技艺术教育的未来，提出了我们观点和想法。2018年11月，参与中国杂技家协会《中等专业学校教学指导性计划（杂技类）》的修订。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4.2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学生实习情况</w:t>
      </w:r>
    </w:p>
    <w:p>
      <w:pPr>
        <w:widowControl/>
        <w:spacing w:line="620" w:lineRule="exact"/>
        <w:ind w:firstLine="48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学校重视每年的学生实习情况，做到实习有制度、有计划、有落实、有总结，明确实习指导教师职责，每学期进行五次的定期实习巡视。学校为每位参加实习学生落实了相关保险，使学生在实习期间的安全有了保障。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4.3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集团化办学情况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年我校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继续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开展津京冀一体化合作，与南京杂技团、武汉杂技团、沧州市杂技团、吴桥杂技大世界、北京杂技团等十家杂技团体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持续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合作，走集团化办学的路子。</w:t>
      </w:r>
    </w:p>
    <w:p>
      <w:pPr>
        <w:widowControl/>
        <w:spacing w:line="620" w:lineRule="exact"/>
        <w:ind w:firstLine="560"/>
        <w:jc w:val="left"/>
        <w:rPr>
          <w:rFonts w:ascii="微软雅黑" w:hAnsi="微软雅黑" w:eastAsia="微软雅黑" w:cs="微软雅黑"/>
          <w:b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32"/>
          <w:szCs w:val="32"/>
        </w:rPr>
        <w:t>5社会贡献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5.1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技术技能人才培养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/>
        </w:rPr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864235</wp:posOffset>
            </wp:positionH>
            <wp:positionV relativeFrom="paragraph">
              <wp:posOffset>822960</wp:posOffset>
            </wp:positionV>
            <wp:extent cx="3534410" cy="5006340"/>
            <wp:effectExtent l="0" t="0" r="10160" b="8890"/>
            <wp:wrapTight wrapText="bothSides">
              <wp:wrapPolygon>
                <wp:start x="21600" y="0"/>
                <wp:lineTo x="101" y="0"/>
                <wp:lineTo x="101" y="21534"/>
                <wp:lineTo x="21600" y="21534"/>
                <wp:lineTo x="21600" y="0"/>
              </wp:wrapPolygon>
            </wp:wrapTight>
            <wp:docPr id="11" name="图片 11" descr="C:\Users\Samsung\Desktop\凌云狮秀-流星奖状.jpg凌云狮秀-流星奖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Samsung\Desktop\凌云狮秀-流星奖状.jpg凌云狮秀-流星奖状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34410" cy="500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2019年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我校独立编排的《凌云狮秀—流星》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继第十五届之后再次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荣获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第十七届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中国吴桥国际杂技艺术节金狮奖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精彩的表演也迅速登上了直通春晚的舞台，将于今年春晚和大家见面。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第十四届非洲杂技学员培训班编排的一台晚会，在吴桥汇演成功，得到文化部、商务部及外交使馆国际友人的高度赞誉。在致力于培养一流杂技人才的同时，学校还花大力气抓好杂技艺术创新，精心打造杂技精品节目。曾参加中外杂技大赛30余次，获金银铜奖30多项。2017年《窗花—女子柔术》京津冀杂技汇演比赛金奖，2013年11月，学校创作的《童梦——独轮车技》节目在第九届文华奖全国杂技（魔术）比赛中荣获银奖；2014年，又荣获第十一届武汉国际杂技艺术节芳草杯金奖。2015年11月，第十五届中国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桥国际杂技艺术节上，我校独立编排的《秦俑魂—独轮车技》节目，力压群雄，荣获金奖第一的好成绩，为我国、河北、沧州争得了很高荣誉。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391795</wp:posOffset>
            </wp:positionV>
            <wp:extent cx="5213985" cy="3361690"/>
            <wp:effectExtent l="0" t="0" r="5715" b="48260"/>
            <wp:wrapTight wrapText="bothSides">
              <wp:wrapPolygon>
                <wp:start x="0" y="0"/>
                <wp:lineTo x="0" y="21420"/>
                <wp:lineTo x="21545" y="21420"/>
                <wp:lineTo x="21545" y="0"/>
                <wp:lineTo x="0" y="0"/>
              </wp:wrapPolygon>
            </wp:wrapTight>
            <wp:docPr id="12" name="图片 12" descr="A4A81A43D63672B8CA095819F82C4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A4A81A43D63672B8CA095819F82C484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13985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5.2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社会服务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学校全年为中央电视台《中华情》栏目、沧州电视台《杂技大舞台》、河北杂技频道《非洲杂技学员在吴桥》、中国杂技家协会在深圳举办的首届《杂技绝技绝活》、京津冀杂技研讨会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提供节目。今年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完成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沧州旅发大会期间的演出和录制活动，参加河北大学校际演出达45场。配合当地有关部门，完成文化下基层、文化进社区、杂技文化进校园达到50多场。开展文化传承活动次数增加了26次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pacing w:line="62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189230</wp:posOffset>
            </wp:positionV>
            <wp:extent cx="5203190" cy="1828800"/>
            <wp:effectExtent l="4445" t="4445" r="12065" b="14605"/>
            <wp:wrapTopAndBottom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了保证教学质量，培养一流的杂技人才，在教学过程中，既注重学生专业技能的提高又强调文化、艺术素质的全面培养，因此学校的毕业生整体素质都比较高，深受全国各杂技团体的青睐。毕业生就业率年年都是百分之百，而且是供不应求。</w:t>
      </w:r>
    </w:p>
    <w:p>
      <w:pPr>
        <w:widowControl/>
        <w:spacing w:line="620" w:lineRule="exact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5.3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对口支援</w:t>
      </w:r>
    </w:p>
    <w:p>
      <w:pPr>
        <w:widowControl/>
        <w:spacing w:line="620" w:lineRule="exact"/>
        <w:ind w:firstLine="560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学校本年度和北京杂技团、天津杂技团、南京杂技团、银川等省级杂技团体合作，建立校团合作关系。与吴桥县教育局合作，开展“杂技魔术进校园”活动，编写三套杂技校本课程，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让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近万名青少年认识杂技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练习杂技、普及对杂技的认知水平，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让杂技在普教校园文化中生根发芽，让杂技深入扎根于大众日常。</w:t>
      </w:r>
    </w:p>
    <w:p>
      <w:pPr>
        <w:widowControl/>
        <w:spacing w:line="620" w:lineRule="exact"/>
        <w:ind w:firstLine="560"/>
        <w:jc w:val="left"/>
        <w:rPr>
          <w:rFonts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32"/>
          <w:szCs w:val="32"/>
        </w:rPr>
        <w:t>6.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  <w:t>举办者履责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6.1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经费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年我校教育经费总收入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1691.0672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万元，其中财政经费收入为15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91.0672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万元，中央资金100万元 。201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年度生均拨款1000元。经费主要用于数字校园提升、图书购置、实训设施设备购置、增加教学设备、部分校舍维修和改造及改善学生伙食方面投入。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6.2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政策措施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年我校共有教职工8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人，其中在编教职工58人，占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71.6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%；在编教职工中专任教师4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人，占在编教职工数的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%。</w:t>
      </w:r>
    </w:p>
    <w:p>
      <w:pPr>
        <w:widowControl/>
        <w:spacing w:line="620" w:lineRule="exact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学校对原有《学校岗位职责与规章制度汇编》内容进行全面梳理，并充分发动教职员工参与讨论，逐步修订并完善了各项规章制度，形成新版《河北吴桥杂技艺术学校制度汇编》，内容涉及学校管理的各个方面，从教育教学到后勤保障的每个教职工岗位，从教职工的“岗位职责”到“工作制度”，都有明确的规定和要求。完备、系统、规范、易操作成为该《制度汇编》的重要特色。《制度汇编》把学校各项工作纳入规范化的管理轨道，思路清晰，目标明确，从而摆脱了随意性的“人治”状况，走向有严密组织管理、有一整套综合的和分工细致的制度化模式。今年新编写了《河北吴桥杂技艺术学校安全管理制度汇编》，装订成书，规范学校安全管理工作。同时，为保证制度的实施，学校还制订了考勤、考绩检查评比、奖优惩劣等配套办法和措施，真正做到工作有计划、落实有措施、检查有记载、成果有评价。</w:t>
      </w:r>
    </w:p>
    <w:p>
      <w:pPr>
        <w:widowControl/>
        <w:spacing w:line="620" w:lineRule="exact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学校围绕 “全面提质”的新要求，进一步确立“制度立校、精致管理”的思想，通过形成符合学校发展的科学化、规范化的管理制度，强化学校内部管理，向管理要质量，向管理要效率。通过制度，规范教育教学，力争把教育教学做到最佳的状态，努力提升办学质量和管理水平。</w:t>
      </w:r>
    </w:p>
    <w:p>
      <w:pPr>
        <w:widowControl/>
        <w:spacing w:line="620" w:lineRule="exact"/>
        <w:ind w:firstLine="560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7.特色创新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7.1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科学把握办学定位，提升人才培养效益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535940</wp:posOffset>
            </wp:positionV>
            <wp:extent cx="3404870" cy="2553970"/>
            <wp:effectExtent l="0" t="0" r="5080" b="17780"/>
            <wp:wrapTight wrapText="bothSides">
              <wp:wrapPolygon>
                <wp:start x="0" y="0"/>
                <wp:lineTo x="0" y="21428"/>
                <wp:lineTo x="21511" y="21428"/>
                <wp:lineTo x="21511" y="0"/>
                <wp:lineTo x="0" y="0"/>
              </wp:wrapPolygon>
            </wp:wrapTight>
            <wp:docPr id="7" name="图片 7" descr="79F2891743C10DB15085C774212D6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9F2891743C10DB15085C774212D646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0487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争取政府财政支持，正常教学经费每年呈现递增趋势，基础设施项目、创作编剧项目不断增加，外籍杂技学员培训工作得到了商务部、文化部的支持，每年有30名左右来自非洲的杂技学员到校进修学习。各项规章制度健全，十分到位，确保了学校各项工作的正常运行。经过多年办学经验的积累，我校在招生、培训、创新、教学科研、理论研究方面，形成了一套完整的教育体系，走在了全国同类行业之首。特别是2017年我校独立编创的《中国功夫-水流星秀》，荣获了第十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届中国吴桥国际杂技艺术节的金狮奖荣誉奖，充分展示了杂技教学成果，突出了学校在杂技教学中的特色和实力，赢得了国内外杂技界人士的好评。</w:t>
      </w:r>
    </w:p>
    <w:p>
      <w:pPr>
        <w:widowControl/>
        <w:spacing w:line="620" w:lineRule="exact"/>
        <w:jc w:val="left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191135</wp:posOffset>
            </wp:positionV>
            <wp:extent cx="5160645" cy="2998470"/>
            <wp:effectExtent l="0" t="0" r="0" b="11430"/>
            <wp:wrapTight wrapText="bothSides">
              <wp:wrapPolygon>
                <wp:start x="0" y="0"/>
                <wp:lineTo x="0" y="21408"/>
                <wp:lineTo x="21528" y="21408"/>
                <wp:lineTo x="21528" y="0"/>
                <wp:lineTo x="0" y="0"/>
              </wp:wrapPolygon>
            </wp:wrapTight>
            <wp:docPr id="13" name="图片 13" descr="EBD0DA0FB057652197D1B3FAEB3444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EBD0DA0FB057652197D1B3FAEB3444F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60645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 xml:space="preserve">  7.2深入发展校团合作，整合资源特色优势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2019年，我校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全面深化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沧州杂技团和吴桥县杂技团的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多层次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合作，参照北京职教联盟的合作模式，吸纳一校两团主要负责人、专家和业务骨干，设立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一校两团艺术创作室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，发挥学校艺术研发师资力量较为雄厚的优势，统筹研究指导市县两团节目和剧目发展，实现艺术创作资源的共享；输送学校优秀学员到两团工作，共同发展节目，实现校团学员、演员、教练等演出人才资源的共享；整合节目资源，取长补短，分工合作，共同开发国内外演出市场，实现市场资源的共享；全市杂技资源一盘棋，统筹使用政府专项扶持资金，实现发展政策的共享。通过政策、市场、人才和技术的共享共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加快全市杂技优质资源整合步伐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一是加强人才队伍建设，助力行业高质量发展。</w:t>
      </w:r>
    </w:p>
    <w:p>
      <w:pPr>
        <w:widowControl/>
        <w:spacing w:line="620" w:lineRule="exact"/>
        <w:jc w:val="left"/>
        <w:rPr>
          <w:rFonts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auto"/>
          <w:kern w:val="0"/>
          <w:sz w:val="32"/>
          <w:szCs w:val="32"/>
        </w:rPr>
        <w:t>8.主要问题和改进措施与保障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8.1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专业较单一，专业生源匮乏，与日益发展的社会不相适应</w:t>
      </w:r>
    </w:p>
    <w:p>
      <w:pPr>
        <w:widowControl/>
        <w:spacing w:line="620" w:lineRule="exact"/>
        <w:ind w:firstLine="56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专业结构的调整需要综合考虑软硬件设施、教学师资等多种因素，杂技与魔术表演专业性比较强，受社会发展、经济建设、就业多元化、独生子女等方面的影响，杂技的普及率越来越低，导致生源短缺，招生质量受到一定的影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我校开展校级联合办学，调整专业设置，提升学历层次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全国知名大团合作，走校团合作之路，更新办学理念，提升学校生源质量，拓宽学生就业渠道。</w:t>
      </w:r>
    </w:p>
    <w:p>
      <w:pPr>
        <w:widowControl/>
        <w:spacing w:line="620" w:lineRule="exact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8.2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高端杂技专业师资紧缺，与学校发展前景不相适应</w:t>
      </w:r>
    </w:p>
    <w:p>
      <w:pPr>
        <w:widowControl/>
        <w:spacing w:line="620" w:lineRule="exact"/>
        <w:ind w:firstLine="640" w:firstLineChars="200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近年来，我校与北京舞蹈学院、天津体育大学、河北大学、河北师范大学签订师资培训意向，调整专业师资结构，将运动、体操、武术、戏曲、舞蹈专业人才同杂技专业师资培训紧密结合，培养高端杂技师资，补充学校的专业教学师资力量。并争取市人社部门的理解和支持，自主招收专任教师。</w:t>
      </w:r>
    </w:p>
    <w:p>
      <w:pPr>
        <w:widowControl/>
        <w:spacing w:line="620" w:lineRule="exact"/>
        <w:ind w:firstLine="640" w:firstLineChars="200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8.3保障机制</w:t>
      </w:r>
    </w:p>
    <w:p>
      <w:pPr>
        <w:widowControl/>
        <w:spacing w:line="620" w:lineRule="exact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建立教学质量提升领导小组，坚持以人才培养为中心任务，树立质量第一的办学理念，制定120特色学校质量提升项目计划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争取政府财力支持和社会力量资助的财政保障体制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有专人负责，完成教学整改任务，查找缺点和不足，改变不足之处。</w:t>
      </w:r>
    </w:p>
    <w:p>
      <w:pPr>
        <w:rPr>
          <w:color w:val="auto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Aa1OYW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DwGtTm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57"/>
    <w:rsid w:val="001835D2"/>
    <w:rsid w:val="002334D9"/>
    <w:rsid w:val="00475B24"/>
    <w:rsid w:val="00A67B61"/>
    <w:rsid w:val="00BB3757"/>
    <w:rsid w:val="00DE4839"/>
    <w:rsid w:val="00EA64F4"/>
    <w:rsid w:val="015F08DA"/>
    <w:rsid w:val="0872271E"/>
    <w:rsid w:val="0B030A74"/>
    <w:rsid w:val="0D295116"/>
    <w:rsid w:val="10B64F5D"/>
    <w:rsid w:val="10C10370"/>
    <w:rsid w:val="15F97EB4"/>
    <w:rsid w:val="18042001"/>
    <w:rsid w:val="19C04654"/>
    <w:rsid w:val="1CD66A01"/>
    <w:rsid w:val="222B37BB"/>
    <w:rsid w:val="23642D02"/>
    <w:rsid w:val="23807D42"/>
    <w:rsid w:val="25D467AB"/>
    <w:rsid w:val="264157CA"/>
    <w:rsid w:val="27F7536F"/>
    <w:rsid w:val="29BA7CB3"/>
    <w:rsid w:val="2B542ED4"/>
    <w:rsid w:val="3B643466"/>
    <w:rsid w:val="3B8116BE"/>
    <w:rsid w:val="404810AB"/>
    <w:rsid w:val="46E37D93"/>
    <w:rsid w:val="4B9D1D88"/>
    <w:rsid w:val="4D7A4910"/>
    <w:rsid w:val="50A547EC"/>
    <w:rsid w:val="57162AD9"/>
    <w:rsid w:val="58C5333D"/>
    <w:rsid w:val="59A52FDD"/>
    <w:rsid w:val="5DB03574"/>
    <w:rsid w:val="65884D0E"/>
    <w:rsid w:val="66C60D49"/>
    <w:rsid w:val="69E9450B"/>
    <w:rsid w:val="6FD526FB"/>
    <w:rsid w:val="779204F0"/>
    <w:rsid w:val="7B41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9.jpeg"/><Relationship Id="rId18" Type="http://schemas.openxmlformats.org/officeDocument/2006/relationships/image" Target="media/image8.jpeg"/><Relationship Id="rId17" Type="http://schemas.openxmlformats.org/officeDocument/2006/relationships/chart" Target="charts/chart5.xml"/><Relationship Id="rId16" Type="http://schemas.openxmlformats.org/officeDocument/2006/relationships/image" Target="media/image7.jpeg"/><Relationship Id="rId15" Type="http://schemas.openxmlformats.org/officeDocument/2006/relationships/image" Target="media/image6.jpeg"/><Relationship Id="rId14" Type="http://schemas.openxmlformats.org/officeDocument/2006/relationships/chart" Target="charts/chart4.xml"/><Relationship Id="rId13" Type="http://schemas.openxmlformats.org/officeDocument/2006/relationships/chart" Target="charts/chart3.xml"/><Relationship Id="rId12" Type="http://schemas.openxmlformats.org/officeDocument/2006/relationships/image" Target="media/image5.jpeg"/><Relationship Id="rId11" Type="http://schemas.openxmlformats.org/officeDocument/2006/relationships/chart" Target="charts/chart2.xml"/><Relationship Id="rId10" Type="http://schemas.openxmlformats.org/officeDocument/2006/relationships/chart" Target="charts/chart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5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4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在校生人数对比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7515884080575"/>
          <c:y val="0.247896213183731"/>
          <c:w val="0.790441988950276"/>
          <c:h val="0.4391304347826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在校人数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200</c:v>
                </c:pt>
                <c:pt idx="1">
                  <c:v>220</c:v>
                </c:pt>
                <c:pt idx="2">
                  <c:v>245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927360"/>
        <c:axId val="124937344"/>
      </c:barChart>
      <c:catAx>
        <c:axId val="12492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24937344"/>
        <c:crosses val="autoZero"/>
        <c:auto val="1"/>
        <c:lblAlgn val="ctr"/>
        <c:lblOffset val="100"/>
        <c:noMultiLvlLbl val="0"/>
      </c:catAx>
      <c:valAx>
        <c:axId val="12493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24927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生均纸质图书对比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生均数量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15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8502528"/>
        <c:axId val="308505600"/>
      </c:barChart>
      <c:catAx>
        <c:axId val="308502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505600"/>
        <c:crosses val="autoZero"/>
        <c:auto val="1"/>
        <c:lblAlgn val="ctr"/>
        <c:lblOffset val="100"/>
        <c:noMultiLvlLbl val="0"/>
      </c:catAx>
      <c:valAx>
        <c:axId val="308505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502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教师参加培训的对比图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697833935018051"/>
          <c:y val="0.209917355371901"/>
          <c:w val="0.895920577617328"/>
          <c:h val="0.531515151515151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人数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39</c:v>
                </c:pt>
                <c:pt idx="2">
                  <c:v>48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ln w="28575" cap="rnd" cmpd="sng" algn="ctr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309826688"/>
        <c:axId val="309828608"/>
      </c:lineChart>
      <c:catAx>
        <c:axId val="30982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9828608"/>
        <c:crosses val="autoZero"/>
        <c:auto val="1"/>
        <c:lblAlgn val="ctr"/>
        <c:lblOffset val="100"/>
        <c:noMultiLvlLbl val="0"/>
      </c:catAx>
      <c:valAx>
        <c:axId val="309828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982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校园文化面积的增长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平方米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200</c:v>
                </c:pt>
                <c:pt idx="1">
                  <c:v>530</c:v>
                </c:pt>
                <c:pt idx="2">
                  <c:v>810</c:v>
                </c:pt>
              </c:numCache>
            </c:numRef>
          </c:val>
        </c:ser>
        <c:ser>
          <c:idx val="1"/>
          <c:order val="1"/>
          <c:tx>
            <c:strRef>
              <c:f>Sheet1!#REF!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Sheet1!$D$4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Sheet1!$D$5:$D$8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9610880"/>
        <c:axId val="299612416"/>
      </c:barChart>
      <c:catAx>
        <c:axId val="29961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99612416"/>
        <c:crosses val="autoZero"/>
        <c:auto val="1"/>
        <c:lblAlgn val="ctr"/>
        <c:lblOffset val="100"/>
        <c:noMultiLvlLbl val="0"/>
      </c:catAx>
      <c:valAx>
        <c:axId val="299612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99610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开展文化传承活动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次数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34</c:v>
                </c:pt>
                <c:pt idx="2">
                  <c:v>53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ln w="28575" cap="rnd" cmpd="sng" algn="ctr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299621376"/>
        <c:axId val="299668224"/>
      </c:lineChart>
      <c:catAx>
        <c:axId val="29962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99668224"/>
        <c:crosses val="autoZero"/>
        <c:auto val="1"/>
        <c:lblAlgn val="ctr"/>
        <c:lblOffset val="100"/>
        <c:noMultiLvlLbl val="0"/>
      </c:catAx>
      <c:valAx>
        <c:axId val="29966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99621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1198</Words>
  <Characters>6831</Characters>
  <Lines>56</Lines>
  <Paragraphs>16</Paragraphs>
  <TotalTime>0</TotalTime>
  <ScaleCrop>false</ScaleCrop>
  <LinksUpToDate>false</LinksUpToDate>
  <CharactersWithSpaces>8013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2019-12-06T03:12:00Z</dcterms:created>
  <dc:creator>ZJXX005</dc:creator>
  <cp:lastModifiedBy>Samsung</cp:lastModifiedBy>
  <dcterms:modified xsi:type="dcterms:W3CDTF">2019-12-25T07:27:28Z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